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07C" w:rsidRPr="00DC44CC" w:rsidRDefault="0033184A" w:rsidP="00DC44CC">
      <w:pPr>
        <w:spacing w:after="0" w:line="240" w:lineRule="auto"/>
        <w:ind w:left="-1134" w:right="-44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C44CC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แผนการประเมินความเสี่ยงการทุจริตประจำปี</w:t>
      </w:r>
    </w:p>
    <w:p w:rsidR="00DC44CC" w:rsidRPr="00DC44CC" w:rsidRDefault="0033184A" w:rsidP="00DC44CC">
      <w:pPr>
        <w:spacing w:after="0" w:line="240" w:lineRule="auto"/>
        <w:ind w:left="-567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DC44CC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การประเมินความเสี่ยงการทุจริตของ องค์การบริหารส่วนตำบล</w:t>
      </w:r>
      <w:r w:rsidR="009F70BC">
        <w:rPr>
          <w:rFonts w:ascii="TH SarabunPSK" w:hAnsi="TH SarabunPSK" w:cs="TH SarabunPSK" w:hint="cs"/>
          <w:b/>
          <w:bCs/>
          <w:sz w:val="36"/>
          <w:szCs w:val="36"/>
          <w:cs/>
        </w:rPr>
        <w:t>คอน</w:t>
      </w:r>
      <w:proofErr w:type="spellStart"/>
      <w:r w:rsidR="009F70BC">
        <w:rPr>
          <w:rFonts w:ascii="TH SarabunPSK" w:hAnsi="TH SarabunPSK" w:cs="TH SarabunPSK" w:hint="cs"/>
          <w:b/>
          <w:bCs/>
          <w:sz w:val="36"/>
          <w:szCs w:val="36"/>
          <w:cs/>
        </w:rPr>
        <w:t>ฉิม</w:t>
      </w:r>
      <w:proofErr w:type="spellEnd"/>
    </w:p>
    <w:p w:rsidR="0033184A" w:rsidRPr="00DC44CC" w:rsidRDefault="0033184A" w:rsidP="00DC44CC">
      <w:pPr>
        <w:spacing w:after="0" w:line="240" w:lineRule="auto"/>
        <w:ind w:left="-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44CC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ประจำปีงบประมาณ พ.ศ.</w:t>
      </w:r>
      <w:r w:rsidR="00132CF3" w:rsidRPr="00DC44CC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3710CD" w:rsidRPr="00DC44CC"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</w:p>
    <w:tbl>
      <w:tblPr>
        <w:tblStyle w:val="a3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4"/>
        <w:gridCol w:w="820"/>
        <w:gridCol w:w="994"/>
        <w:gridCol w:w="951"/>
        <w:gridCol w:w="1130"/>
        <w:gridCol w:w="1486"/>
        <w:gridCol w:w="336"/>
        <w:gridCol w:w="422"/>
        <w:gridCol w:w="348"/>
        <w:gridCol w:w="473"/>
        <w:gridCol w:w="346"/>
        <w:gridCol w:w="422"/>
        <w:gridCol w:w="486"/>
        <w:gridCol w:w="1062"/>
        <w:gridCol w:w="998"/>
      </w:tblGrid>
      <w:tr w:rsidR="00163968" w:rsidRPr="00DC44CC" w:rsidTr="007B3E26">
        <w:tc>
          <w:tcPr>
            <w:tcW w:w="324" w:type="dxa"/>
            <w:vMerge w:val="restart"/>
            <w:shd w:val="clear" w:color="auto" w:fill="BFBFBF" w:themeFill="background1" w:themeFillShade="BF"/>
          </w:tcPr>
          <w:p w:rsidR="003B0564" w:rsidRPr="00DC44CC" w:rsidRDefault="00F93AB0" w:rsidP="0033184A">
            <w:pPr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820" w:type="dxa"/>
            <w:vMerge w:val="restart"/>
            <w:shd w:val="clear" w:color="auto" w:fill="BFBFBF" w:themeFill="background1" w:themeFillShade="BF"/>
          </w:tcPr>
          <w:p w:rsidR="003B0564" w:rsidRPr="00DC44CC" w:rsidRDefault="00F93AB0" w:rsidP="0033184A">
            <w:pPr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4" w:type="dxa"/>
            <w:vMerge w:val="restart"/>
            <w:shd w:val="clear" w:color="auto" w:fill="BFBFBF" w:themeFill="background1" w:themeFillShade="BF"/>
          </w:tcPr>
          <w:p w:rsidR="003B0564" w:rsidRPr="00DC44CC" w:rsidRDefault="00F93AB0" w:rsidP="0033184A">
            <w:pPr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ประเด็นขั้นตอน/กระบวนการดำเนินงาน</w:t>
            </w:r>
          </w:p>
        </w:tc>
        <w:tc>
          <w:tcPr>
            <w:tcW w:w="951" w:type="dxa"/>
            <w:vMerge w:val="restart"/>
            <w:shd w:val="clear" w:color="auto" w:fill="BFBFBF" w:themeFill="background1" w:themeFillShade="BF"/>
          </w:tcPr>
          <w:p w:rsidR="003B0564" w:rsidRPr="00DC44CC" w:rsidRDefault="00F93AB0" w:rsidP="0033184A">
            <w:pPr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130" w:type="dxa"/>
            <w:vMerge w:val="restart"/>
            <w:shd w:val="clear" w:color="auto" w:fill="BFBFBF" w:themeFill="background1" w:themeFillShade="BF"/>
          </w:tcPr>
          <w:p w:rsidR="003B0564" w:rsidRPr="00DC44CC" w:rsidRDefault="00F93AB0" w:rsidP="0033184A">
            <w:pPr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486" w:type="dxa"/>
            <w:vMerge w:val="restart"/>
            <w:shd w:val="clear" w:color="auto" w:fill="BFBFBF" w:themeFill="background1" w:themeFillShade="BF"/>
          </w:tcPr>
          <w:p w:rsidR="003B0564" w:rsidRPr="00DC44CC" w:rsidRDefault="00F93AB0" w:rsidP="0033184A">
            <w:pPr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การควบคุมระเบียบที่เกี่ยวข้อง</w:t>
            </w:r>
          </w:p>
        </w:tc>
        <w:tc>
          <w:tcPr>
            <w:tcW w:w="2833" w:type="dxa"/>
            <w:gridSpan w:val="7"/>
            <w:shd w:val="clear" w:color="auto" w:fill="BFBFBF" w:themeFill="background1" w:themeFillShade="BF"/>
          </w:tcPr>
          <w:p w:rsidR="003B0564" w:rsidRPr="00DC44CC" w:rsidRDefault="00F93AB0" w:rsidP="0033184A">
            <w:pPr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ประเมินระดับของความเสี่ยง</w:t>
            </w:r>
          </w:p>
        </w:tc>
        <w:tc>
          <w:tcPr>
            <w:tcW w:w="1062" w:type="dxa"/>
            <w:vMerge w:val="restart"/>
            <w:shd w:val="clear" w:color="auto" w:fill="BFBFBF" w:themeFill="background1" w:themeFillShade="BF"/>
          </w:tcPr>
          <w:p w:rsidR="00F93AB0" w:rsidRPr="00DC44CC" w:rsidRDefault="00F93AB0" w:rsidP="00F93AB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มาตรการป้องกันเพื่อไม่เกิดการทุจริต</w:t>
            </w:r>
          </w:p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BFBFBF" w:themeFill="background1" w:themeFillShade="BF"/>
          </w:tcPr>
          <w:p w:rsidR="003B0564" w:rsidRPr="00DC44CC" w:rsidRDefault="00F93AB0" w:rsidP="0033184A">
            <w:pPr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ตัวชี้วัดผลสำเร็จ</w:t>
            </w:r>
          </w:p>
        </w:tc>
      </w:tr>
      <w:tr w:rsidR="0016454B" w:rsidRPr="00DC44CC" w:rsidTr="00DC44CC">
        <w:trPr>
          <w:cantSplit/>
          <w:trHeight w:val="1134"/>
        </w:trPr>
        <w:tc>
          <w:tcPr>
            <w:tcW w:w="324" w:type="dxa"/>
            <w:vMerge/>
          </w:tcPr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  <w:textDirection w:val="btLr"/>
          </w:tcPr>
          <w:p w:rsidR="003B0564" w:rsidRPr="00DC44CC" w:rsidRDefault="00F93AB0" w:rsidP="00DC44CC">
            <w:pPr>
              <w:ind w:left="113" w:right="113"/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</w:t>
            </w:r>
          </w:p>
        </w:tc>
        <w:tc>
          <w:tcPr>
            <w:tcW w:w="422" w:type="dxa"/>
            <w:shd w:val="clear" w:color="auto" w:fill="BFBFBF" w:themeFill="background1" w:themeFillShade="BF"/>
            <w:textDirection w:val="btLr"/>
          </w:tcPr>
          <w:p w:rsidR="00F93AB0" w:rsidRPr="00DC44CC" w:rsidRDefault="00F93AB0" w:rsidP="00DC44CC">
            <w:pPr>
              <w:ind w:left="113" w:right="113"/>
              <w:rPr>
                <w:rFonts w:ascii="TH SarabunIT๙" w:hAnsi="TH SarabunIT๙" w:cs="TH SarabunIT๙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  <w:p w:rsidR="003B0564" w:rsidRPr="00DC44CC" w:rsidRDefault="00F93AB0" w:rsidP="00DC44CC">
            <w:pPr>
              <w:ind w:left="113" w:right="113"/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348" w:type="dxa"/>
            <w:shd w:val="clear" w:color="auto" w:fill="BFBFBF" w:themeFill="background1" w:themeFillShade="BF"/>
            <w:textDirection w:val="btLr"/>
          </w:tcPr>
          <w:p w:rsidR="003B0564" w:rsidRPr="00DC44CC" w:rsidRDefault="00F93AB0" w:rsidP="00DC44CC">
            <w:pPr>
              <w:ind w:left="113" w:right="113"/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  <w:tc>
          <w:tcPr>
            <w:tcW w:w="473" w:type="dxa"/>
            <w:shd w:val="clear" w:color="auto" w:fill="BFBFBF" w:themeFill="background1" w:themeFillShade="BF"/>
            <w:textDirection w:val="btLr"/>
          </w:tcPr>
          <w:p w:rsidR="003B0564" w:rsidRPr="00DC44CC" w:rsidRDefault="00F93AB0" w:rsidP="00DC44CC">
            <w:pPr>
              <w:ind w:left="113" w:right="113"/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346" w:type="dxa"/>
            <w:shd w:val="clear" w:color="auto" w:fill="BFBFBF" w:themeFill="background1" w:themeFillShade="BF"/>
            <w:textDirection w:val="btLr"/>
          </w:tcPr>
          <w:p w:rsidR="003B0564" w:rsidRPr="00DC44CC" w:rsidRDefault="00F93AB0" w:rsidP="00DC44CC">
            <w:pPr>
              <w:ind w:left="113" w:right="113"/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422" w:type="dxa"/>
            <w:shd w:val="clear" w:color="auto" w:fill="BFBFBF" w:themeFill="background1" w:themeFillShade="BF"/>
            <w:textDirection w:val="btLr"/>
          </w:tcPr>
          <w:p w:rsidR="00F93AB0" w:rsidRPr="00DC44CC" w:rsidRDefault="00F93AB0" w:rsidP="00DC44CC">
            <w:pPr>
              <w:ind w:left="113" w:right="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  <w:p w:rsidR="003B0564" w:rsidRPr="00DC44CC" w:rsidRDefault="00F93AB0" w:rsidP="00DC44CC">
            <w:pPr>
              <w:ind w:left="113" w:right="113"/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486" w:type="dxa"/>
            <w:shd w:val="clear" w:color="auto" w:fill="BFBFBF" w:themeFill="background1" w:themeFillShade="BF"/>
            <w:textDirection w:val="btLr"/>
          </w:tcPr>
          <w:p w:rsidR="003B0564" w:rsidRPr="00DC44CC" w:rsidRDefault="00F93AB0" w:rsidP="00DC44CC">
            <w:pPr>
              <w:ind w:left="113" w:right="113"/>
              <w:rPr>
                <w:rFonts w:ascii="JasmineUPC" w:hAnsi="JasmineUPC" w:cs="JasmineUPC"/>
                <w:sz w:val="24"/>
                <w:szCs w:val="24"/>
              </w:rPr>
            </w:pPr>
            <w:r w:rsidRPr="00DC44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สูงสุด</w:t>
            </w:r>
          </w:p>
        </w:tc>
        <w:tc>
          <w:tcPr>
            <w:tcW w:w="1062" w:type="dxa"/>
            <w:vMerge/>
          </w:tcPr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3B0564" w:rsidRPr="00DC44CC" w:rsidRDefault="003B0564" w:rsidP="0033184A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</w:tr>
      <w:tr w:rsidR="007B3E26" w:rsidTr="007B3E26">
        <w:tc>
          <w:tcPr>
            <w:tcW w:w="324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20" w:type="dxa"/>
          </w:tcPr>
          <w:p w:rsidR="007B3E26" w:rsidRPr="003710CD" w:rsidRDefault="007B3E26" w:rsidP="003710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การพัฒนาและการจัดเก็บรายได้</w:t>
            </w:r>
          </w:p>
        </w:tc>
        <w:tc>
          <w:tcPr>
            <w:tcW w:w="994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เก็บภาษีแล้วไม่นำส่งเงินภายในวันที่จัดเก็บ</w:t>
            </w:r>
          </w:p>
        </w:tc>
        <w:tc>
          <w:tcPr>
            <w:tcW w:w="951" w:type="dxa"/>
          </w:tcPr>
          <w:p w:rsidR="007B3E26" w:rsidRDefault="007B3E26" w:rsidP="003710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ผู้รับผิดชอบในการจัดเก็บรายได้น้อยและไม่ได้วางแผนเส้นทางการเดินรถทำให้ล่าช้าในการนำส่งเงิน</w:t>
            </w:r>
          </w:p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1130" w:type="dxa"/>
          </w:tcPr>
          <w:p w:rsidR="007B3E26" w:rsidRDefault="007B3E26" w:rsidP="003E791C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ผู้บังคับบัญชาขาดการควบคุมอย่างใกล้ชิด</w:t>
            </w:r>
          </w:p>
        </w:tc>
        <w:tc>
          <w:tcPr>
            <w:tcW w:w="1486" w:type="dxa"/>
          </w:tcPr>
          <w:p w:rsidR="007B3E26" w:rsidRDefault="007B3E26" w:rsidP="003710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-พระราชบัญญัติภาษีโรงเรือนและที่ดิน พ.ศ.2575</w:t>
            </w:r>
          </w:p>
          <w:p w:rsidR="00CD32CA" w:rsidRDefault="007B3E26" w:rsidP="003710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-หนังสือกระทรวงมหาด</w:t>
            </w:r>
          </w:p>
          <w:p w:rsidR="007B3E26" w:rsidRPr="0016454B" w:rsidRDefault="007B3E26" w:rsidP="003710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ไทยที่ มท 0808.3 /ว3431 ลงวันที่ 19 ต ค.2552</w:t>
            </w:r>
          </w:p>
          <w:p w:rsidR="007B3E26" w:rsidRDefault="007B3E26" w:rsidP="00F93AB0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348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73" w:type="dxa"/>
          </w:tcPr>
          <w:p w:rsidR="007B3E26" w:rsidRDefault="00C54551" w:rsidP="0033184A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PSK" w:hAnsi="TH SarabunPSK" w:cs="TH SarabunPSK"/>
                <w:sz w:val="44"/>
                <w:szCs w:val="44"/>
                <w:cs/>
              </w:rPr>
              <w:t>√</w:t>
            </w: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</w:p>
        </w:tc>
        <w:tc>
          <w:tcPr>
            <w:tcW w:w="346" w:type="dxa"/>
          </w:tcPr>
          <w:p w:rsidR="007B3E26" w:rsidRPr="00830C22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86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1062" w:type="dxa"/>
          </w:tcPr>
          <w:p w:rsidR="007B3E26" w:rsidRDefault="007B3E26" w:rsidP="007B3E26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</w:tc>
        <w:tc>
          <w:tcPr>
            <w:tcW w:w="998" w:type="dxa"/>
          </w:tcPr>
          <w:p w:rsidR="007B3E26" w:rsidRDefault="007B3E26" w:rsidP="003E791C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จำนวนครั้งที่ไม่นำส่งเงินภายในวันที่จัดเก็บ</w:t>
            </w:r>
          </w:p>
        </w:tc>
      </w:tr>
      <w:tr w:rsidR="007B3E26" w:rsidTr="007B3E26">
        <w:tc>
          <w:tcPr>
            <w:tcW w:w="324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20" w:type="dxa"/>
          </w:tcPr>
          <w:p w:rsidR="007B3E26" w:rsidRDefault="0036698C" w:rsidP="00163968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การใช้ทรัพย์สินของราชการเพื่อประโยชน์ส่วนตน(รถยนต์ราชการ)</w:t>
            </w:r>
          </w:p>
        </w:tc>
        <w:tc>
          <w:tcPr>
            <w:tcW w:w="994" w:type="dxa"/>
          </w:tcPr>
          <w:p w:rsidR="007B3E26" w:rsidRDefault="0036698C" w:rsidP="003710CD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การนำรถยนต์ไปใช้ส่วนตัว</w:t>
            </w:r>
          </w:p>
        </w:tc>
        <w:tc>
          <w:tcPr>
            <w:tcW w:w="951" w:type="dxa"/>
          </w:tcPr>
          <w:p w:rsidR="007B3E26" w:rsidRDefault="0036698C" w:rsidP="007B3E26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การควบคุมการเบิกจ่ายน้ำมันเชื้อเพลิง</w:t>
            </w:r>
          </w:p>
        </w:tc>
        <w:tc>
          <w:tcPr>
            <w:tcW w:w="1130" w:type="dxa"/>
          </w:tcPr>
          <w:p w:rsidR="007B3E26" w:rsidRDefault="0036698C" w:rsidP="007B3E26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-พนักงานที่ใช้รถไม่ทำแบบบันทึกแบบ 4 เป็นประจำทุกครั้ง ทำให้ข้อมูลการวิเคราะห์อัตราสิ้นเปลืองน้ำมันเชื้อเพลิงไม่ถูกต้องตรงความจริง</w:t>
            </w:r>
          </w:p>
        </w:tc>
        <w:tc>
          <w:tcPr>
            <w:tcW w:w="1486" w:type="dxa"/>
          </w:tcPr>
          <w:p w:rsidR="007B3E26" w:rsidRDefault="0036698C" w:rsidP="007B3E26"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ระเบียบกระทรวงมหาดไทยว่าด้วยการใช้และรักษารถยนต์ของ</w:t>
            </w:r>
            <w:r w:rsidR="00CD32C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อปท.พ.ศ.2548 แก้ไขเพิ่</w:t>
            </w:r>
            <w:r>
              <w:rPr>
                <w:rFonts w:hint="cs"/>
                <w:cs/>
              </w:rPr>
              <w:t>มเติมถึงฉบับที่ ๒ พ.ศ.๒๕๖๐</w:t>
            </w:r>
          </w:p>
          <w:p w:rsidR="0036698C" w:rsidRDefault="0036698C" w:rsidP="007B3E26">
            <w:r>
              <w:rPr>
                <w:rFonts w:hint="cs"/>
                <w:cs/>
              </w:rPr>
              <w:t>ระเบียบกระทรวงมหาด</w:t>
            </w:r>
            <w:r w:rsidR="00CD32C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ไทยว่าด้วยการใช้จ่ายในการจัดทำประกันภัยทรัพย์สินของอปท. พ.ศ.๒๕๖๒</w:t>
            </w:r>
          </w:p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348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73" w:type="dxa"/>
          </w:tcPr>
          <w:p w:rsidR="007B3E26" w:rsidRDefault="00E910AB" w:rsidP="0033184A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346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86" w:type="dxa"/>
          </w:tcPr>
          <w:p w:rsidR="007B3E26" w:rsidRDefault="007B3E26" w:rsidP="0033184A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1062" w:type="dxa"/>
          </w:tcPr>
          <w:p w:rsidR="007B3E26" w:rsidRDefault="007B3E26" w:rsidP="007B3E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7B3E26" w:rsidRDefault="007B3E26" w:rsidP="007B3E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</w:t>
            </w:r>
          </w:p>
          <w:p w:rsidR="007B3E26" w:rsidRDefault="007B3E26" w:rsidP="007B3E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บัญชามีการควบคุมและติดตามการทำงานอย่างใกล้ชิด</w:t>
            </w:r>
          </w:p>
          <w:p w:rsidR="007B3E26" w:rsidRDefault="007B3E26" w:rsidP="007B3E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  <w:p w:rsidR="007B3E26" w:rsidRDefault="00E910AB" w:rsidP="007B3E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สร้างจิตสำนึกให้กับผู้ใช้รถยนต์และการบำรุงรักษารถยนต์</w:t>
            </w:r>
          </w:p>
          <w:p w:rsidR="00E910AB" w:rsidRDefault="00E910AB" w:rsidP="007B3E26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3.เพิ่มความถี่ในการติดตามการใช้รถยนต์</w:t>
            </w:r>
          </w:p>
        </w:tc>
        <w:tc>
          <w:tcPr>
            <w:tcW w:w="998" w:type="dxa"/>
          </w:tcPr>
          <w:p w:rsidR="007B3E26" w:rsidRDefault="00E910AB" w:rsidP="007B3E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ข้อทักท้วงของหน่วยตรวจสอบต่าง </w:t>
            </w:r>
            <w:r w:rsidR="000B1B22">
              <w:rPr>
                <w:rFonts w:ascii="TH SarabunIT๙" w:hAnsi="TH SarabunIT๙" w:cs="TH SarabunIT๙" w:hint="cs"/>
                <w:sz w:val="28"/>
                <w:cs/>
              </w:rPr>
              <w:t>ๆ เกี่ยวกับการใช้รถยนต์ให้แก่สำ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นักงานตรวจเงินแผ่นดิน</w:t>
            </w:r>
          </w:p>
          <w:p w:rsidR="007B3E26" w:rsidRDefault="007B3E26" w:rsidP="007B3E26">
            <w:pPr>
              <w:ind w:right="-332"/>
              <w:rPr>
                <w:rFonts w:ascii="JasmineUPC" w:hAnsi="JasmineUPC" w:cs="JasmineUPC"/>
                <w:sz w:val="44"/>
                <w:szCs w:val="44"/>
              </w:rPr>
            </w:pPr>
          </w:p>
        </w:tc>
      </w:tr>
    </w:tbl>
    <w:p w:rsidR="0036698C" w:rsidRPr="00CD32CA" w:rsidRDefault="008F1AA9" w:rsidP="007B3E26">
      <w:pPr>
        <w:tabs>
          <w:tab w:val="left" w:pos="6000"/>
        </w:tabs>
        <w:spacing w:after="0"/>
        <w:ind w:left="-993" w:right="-306"/>
        <w:rPr>
          <w:rFonts w:ascii="JasmineUPC" w:hAnsi="JasmineUPC" w:cs="JasmineUPC"/>
          <w:sz w:val="32"/>
          <w:szCs w:val="32"/>
        </w:rPr>
      </w:pPr>
      <w:r w:rsidRPr="00CD32CA">
        <w:rPr>
          <w:rFonts w:ascii="JasmineUPC" w:hAnsi="JasmineUPC" w:cs="JasmineUPC" w:hint="cs"/>
          <w:sz w:val="32"/>
          <w:szCs w:val="32"/>
          <w:cs/>
        </w:rPr>
        <w:t xml:space="preserve">  </w:t>
      </w:r>
    </w:p>
    <w:p w:rsidR="0036698C" w:rsidRPr="00CD32CA" w:rsidRDefault="0036698C" w:rsidP="007B3E26">
      <w:pPr>
        <w:tabs>
          <w:tab w:val="left" w:pos="6000"/>
        </w:tabs>
        <w:spacing w:after="0"/>
        <w:ind w:left="-993" w:right="-306"/>
        <w:rPr>
          <w:rFonts w:ascii="JasmineUPC" w:hAnsi="JasmineUPC" w:cs="JasmineUPC"/>
          <w:sz w:val="32"/>
          <w:szCs w:val="32"/>
        </w:rPr>
      </w:pPr>
    </w:p>
    <w:p w:rsidR="00CD32CA" w:rsidRDefault="00CD32CA">
      <w:pPr>
        <w:rPr>
          <w:rFonts w:ascii="JasmineUPC" w:hAnsi="JasmineUPC" w:cs="JasmineUPC"/>
          <w:sz w:val="32"/>
          <w:szCs w:val="32"/>
        </w:rPr>
      </w:pPr>
      <w:r>
        <w:rPr>
          <w:rFonts w:ascii="JasmineUPC" w:hAnsi="JasmineUPC" w:cs="JasmineUPC"/>
          <w:sz w:val="32"/>
          <w:szCs w:val="32"/>
        </w:rPr>
        <w:br w:type="page"/>
      </w:r>
    </w:p>
    <w:p w:rsidR="00CD32CA" w:rsidRPr="00CD32CA" w:rsidRDefault="00CD32CA" w:rsidP="007B3E26">
      <w:pPr>
        <w:tabs>
          <w:tab w:val="left" w:pos="6000"/>
        </w:tabs>
        <w:spacing w:after="0"/>
        <w:ind w:left="-993" w:right="-306"/>
        <w:rPr>
          <w:rFonts w:ascii="JasmineUPC" w:hAnsi="JasmineUPC" w:cs="JasmineUPC"/>
          <w:sz w:val="32"/>
          <w:szCs w:val="32"/>
        </w:rPr>
      </w:pPr>
    </w:p>
    <w:tbl>
      <w:tblPr>
        <w:tblStyle w:val="a3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4"/>
        <w:gridCol w:w="820"/>
        <w:gridCol w:w="994"/>
        <w:gridCol w:w="951"/>
        <w:gridCol w:w="1130"/>
        <w:gridCol w:w="1486"/>
        <w:gridCol w:w="336"/>
        <w:gridCol w:w="422"/>
        <w:gridCol w:w="348"/>
        <w:gridCol w:w="473"/>
        <w:gridCol w:w="346"/>
        <w:gridCol w:w="422"/>
        <w:gridCol w:w="486"/>
        <w:gridCol w:w="1062"/>
        <w:gridCol w:w="998"/>
      </w:tblGrid>
      <w:tr w:rsidR="0036698C" w:rsidRPr="00CD32CA" w:rsidTr="00CB2802">
        <w:tc>
          <w:tcPr>
            <w:tcW w:w="324" w:type="dxa"/>
            <w:vMerge w:val="restart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820" w:type="dxa"/>
            <w:vMerge w:val="restart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4" w:type="dxa"/>
            <w:vMerge w:val="restart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ประเด็นขั้นตอน/กระบวนการดำเนินงาน</w:t>
            </w:r>
          </w:p>
        </w:tc>
        <w:tc>
          <w:tcPr>
            <w:tcW w:w="951" w:type="dxa"/>
            <w:vMerge w:val="restart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130" w:type="dxa"/>
            <w:vMerge w:val="restart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486" w:type="dxa"/>
            <w:vMerge w:val="restart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การควบคุมระเบียบที่เกี่ยวข้อง</w:t>
            </w:r>
          </w:p>
        </w:tc>
        <w:tc>
          <w:tcPr>
            <w:tcW w:w="2833" w:type="dxa"/>
            <w:gridSpan w:val="7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ประเมินระดับของความเสี่ยง</w:t>
            </w:r>
          </w:p>
        </w:tc>
        <w:tc>
          <w:tcPr>
            <w:tcW w:w="1062" w:type="dxa"/>
            <w:vMerge w:val="restart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มาตรการป้องกั</w:t>
            </w:r>
            <w:bookmarkStart w:id="0" w:name="_GoBack"/>
            <w:bookmarkEnd w:id="0"/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นเพื่อไม่เกิดการทุจริต</w:t>
            </w:r>
          </w:p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BFBFBF" w:themeFill="background1" w:themeFillShade="BF"/>
          </w:tcPr>
          <w:p w:rsidR="0036698C" w:rsidRPr="00CD32CA" w:rsidRDefault="0036698C" w:rsidP="00CB2802">
            <w:pPr>
              <w:rPr>
                <w:rFonts w:ascii="JasmineUPC" w:hAnsi="JasmineUPC" w:cs="JasmineUPC"/>
                <w:sz w:val="24"/>
                <w:szCs w:val="24"/>
              </w:rPr>
            </w:pPr>
            <w:r w:rsidRPr="00CD32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ตัวชี้วัดผลสำเร็จ</w:t>
            </w:r>
          </w:p>
        </w:tc>
      </w:tr>
      <w:tr w:rsidR="0036698C" w:rsidTr="00CD32CA">
        <w:trPr>
          <w:cantSplit/>
          <w:trHeight w:val="1134"/>
        </w:trPr>
        <w:tc>
          <w:tcPr>
            <w:tcW w:w="324" w:type="dxa"/>
            <w:vMerge/>
          </w:tcPr>
          <w:p w:rsidR="0036698C" w:rsidRDefault="0036698C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820" w:type="dxa"/>
            <w:vMerge/>
          </w:tcPr>
          <w:p w:rsidR="0036698C" w:rsidRDefault="0036698C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994" w:type="dxa"/>
            <w:vMerge/>
          </w:tcPr>
          <w:p w:rsidR="0036698C" w:rsidRDefault="0036698C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951" w:type="dxa"/>
            <w:vMerge/>
          </w:tcPr>
          <w:p w:rsidR="0036698C" w:rsidRDefault="0036698C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1130" w:type="dxa"/>
            <w:vMerge/>
          </w:tcPr>
          <w:p w:rsidR="0036698C" w:rsidRDefault="0036698C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1486" w:type="dxa"/>
            <w:vMerge/>
          </w:tcPr>
          <w:p w:rsidR="0036698C" w:rsidRDefault="0036698C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  <w:textDirection w:val="btLr"/>
          </w:tcPr>
          <w:p w:rsidR="0036698C" w:rsidRDefault="0036698C" w:rsidP="00CD32CA">
            <w:pPr>
              <w:ind w:left="113" w:right="113"/>
              <w:rPr>
                <w:rFonts w:ascii="JasmineUPC" w:hAnsi="JasmineUPC" w:cs="JasmineUPC"/>
                <w:sz w:val="44"/>
                <w:szCs w:val="44"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ไม่มี</w:t>
            </w:r>
          </w:p>
        </w:tc>
        <w:tc>
          <w:tcPr>
            <w:tcW w:w="422" w:type="dxa"/>
            <w:shd w:val="clear" w:color="auto" w:fill="BFBFBF" w:themeFill="background1" w:themeFillShade="BF"/>
            <w:textDirection w:val="btLr"/>
          </w:tcPr>
          <w:p w:rsidR="0036698C" w:rsidRPr="00304F95" w:rsidRDefault="0036698C" w:rsidP="00CD32CA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ต่ำ</w:t>
            </w:r>
          </w:p>
          <w:p w:rsidR="0036698C" w:rsidRDefault="0036698C" w:rsidP="00CD32CA">
            <w:pPr>
              <w:ind w:left="113" w:right="113"/>
              <w:rPr>
                <w:rFonts w:ascii="JasmineUPC" w:hAnsi="JasmineUPC" w:cs="JasmineUPC"/>
                <w:sz w:val="44"/>
                <w:szCs w:val="44"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มาก</w:t>
            </w:r>
          </w:p>
        </w:tc>
        <w:tc>
          <w:tcPr>
            <w:tcW w:w="348" w:type="dxa"/>
            <w:shd w:val="clear" w:color="auto" w:fill="BFBFBF" w:themeFill="background1" w:themeFillShade="BF"/>
            <w:textDirection w:val="btLr"/>
          </w:tcPr>
          <w:p w:rsidR="0036698C" w:rsidRDefault="0036698C" w:rsidP="00CD32CA">
            <w:pPr>
              <w:ind w:left="113" w:right="113"/>
              <w:rPr>
                <w:rFonts w:ascii="JasmineUPC" w:hAnsi="JasmineUPC" w:cs="JasmineUPC"/>
                <w:sz w:val="44"/>
                <w:szCs w:val="44"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ต่ำ</w:t>
            </w:r>
          </w:p>
        </w:tc>
        <w:tc>
          <w:tcPr>
            <w:tcW w:w="473" w:type="dxa"/>
            <w:shd w:val="clear" w:color="auto" w:fill="BFBFBF" w:themeFill="background1" w:themeFillShade="BF"/>
            <w:textDirection w:val="btLr"/>
          </w:tcPr>
          <w:p w:rsidR="0036698C" w:rsidRDefault="0036698C" w:rsidP="00CD32CA">
            <w:pPr>
              <w:ind w:left="113" w:right="113"/>
              <w:rPr>
                <w:rFonts w:ascii="JasmineUPC" w:hAnsi="JasmineUPC" w:cs="JasmineUPC"/>
                <w:sz w:val="44"/>
                <w:szCs w:val="44"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กลาง</w:t>
            </w:r>
          </w:p>
        </w:tc>
        <w:tc>
          <w:tcPr>
            <w:tcW w:w="346" w:type="dxa"/>
            <w:shd w:val="clear" w:color="auto" w:fill="BFBFBF" w:themeFill="background1" w:themeFillShade="BF"/>
            <w:textDirection w:val="btLr"/>
          </w:tcPr>
          <w:p w:rsidR="0036698C" w:rsidRDefault="0036698C" w:rsidP="00CD32CA">
            <w:pPr>
              <w:ind w:left="113" w:right="113"/>
              <w:rPr>
                <w:rFonts w:ascii="JasmineUPC" w:hAnsi="JasmineUPC" w:cs="JasmineUPC"/>
                <w:sz w:val="44"/>
                <w:szCs w:val="44"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สูง</w:t>
            </w:r>
          </w:p>
        </w:tc>
        <w:tc>
          <w:tcPr>
            <w:tcW w:w="422" w:type="dxa"/>
            <w:shd w:val="clear" w:color="auto" w:fill="BFBFBF" w:themeFill="background1" w:themeFillShade="BF"/>
            <w:textDirection w:val="btLr"/>
          </w:tcPr>
          <w:p w:rsidR="0036698C" w:rsidRPr="00304F95" w:rsidRDefault="0036698C" w:rsidP="00CD32CA">
            <w:pPr>
              <w:ind w:left="113" w:right="113"/>
              <w:rPr>
                <w:rFonts w:ascii="TH SarabunIT๙" w:hAnsi="TH SarabunIT๙" w:cs="TH SarabunIT๙"/>
                <w:szCs w:val="22"/>
                <w:cs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สูง</w:t>
            </w:r>
          </w:p>
          <w:p w:rsidR="0036698C" w:rsidRDefault="0036698C" w:rsidP="00CD32CA">
            <w:pPr>
              <w:ind w:left="113" w:right="113"/>
              <w:rPr>
                <w:rFonts w:ascii="JasmineUPC" w:hAnsi="JasmineUPC" w:cs="JasmineUPC"/>
                <w:sz w:val="44"/>
                <w:szCs w:val="44"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มาก</w:t>
            </w:r>
          </w:p>
        </w:tc>
        <w:tc>
          <w:tcPr>
            <w:tcW w:w="486" w:type="dxa"/>
            <w:shd w:val="clear" w:color="auto" w:fill="BFBFBF" w:themeFill="background1" w:themeFillShade="BF"/>
            <w:textDirection w:val="btLr"/>
          </w:tcPr>
          <w:p w:rsidR="0036698C" w:rsidRDefault="0036698C" w:rsidP="00CD32CA">
            <w:pPr>
              <w:ind w:left="113" w:right="113"/>
              <w:rPr>
                <w:rFonts w:ascii="JasmineUPC" w:hAnsi="JasmineUPC" w:cs="JasmineUPC"/>
                <w:sz w:val="44"/>
                <w:szCs w:val="44"/>
              </w:rPr>
            </w:pPr>
            <w:r w:rsidRPr="00304F95">
              <w:rPr>
                <w:rFonts w:ascii="TH SarabunIT๙" w:hAnsi="TH SarabunIT๙" w:cs="TH SarabunIT๙" w:hint="cs"/>
                <w:szCs w:val="22"/>
                <w:cs/>
              </w:rPr>
              <w:t>สูงสุด</w:t>
            </w:r>
          </w:p>
        </w:tc>
        <w:tc>
          <w:tcPr>
            <w:tcW w:w="1062" w:type="dxa"/>
            <w:vMerge/>
          </w:tcPr>
          <w:p w:rsidR="0036698C" w:rsidRDefault="0036698C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998" w:type="dxa"/>
            <w:vMerge/>
          </w:tcPr>
          <w:p w:rsidR="0036698C" w:rsidRDefault="0036698C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</w:tr>
      <w:tr w:rsidR="00E910AB" w:rsidTr="00CB2802">
        <w:tc>
          <w:tcPr>
            <w:tcW w:w="324" w:type="dxa"/>
          </w:tcPr>
          <w:p w:rsidR="00E910AB" w:rsidRDefault="007F771D" w:rsidP="00CB2802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20" w:type="dxa"/>
          </w:tcPr>
          <w:p w:rsidR="00E910AB" w:rsidRPr="003710CD" w:rsidRDefault="00E910AB" w:rsidP="00CB28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การสำรวจและออกแบบงานก่อสร้าง</w:t>
            </w:r>
          </w:p>
        </w:tc>
        <w:tc>
          <w:tcPr>
            <w:tcW w:w="994" w:type="dxa"/>
          </w:tcPr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เรียกเงินค่าสำรวจและออกแบบงานก่อสร้างและการออกแบบที่ไม่ได้มาตรฐานสร้างความเสียหายให้กับประชาชน</w:t>
            </w:r>
          </w:p>
        </w:tc>
        <w:tc>
          <w:tcPr>
            <w:tcW w:w="951" w:type="dxa"/>
          </w:tcPr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</w:t>
            </w:r>
          </w:p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เรียกเงินค่าสำรวจและออกแบบงานก่อสร้างและการออกแบบที่ไม่ได้มาตรฐานสร้างความเสียหายให้กับประชาชน</w:t>
            </w:r>
          </w:p>
        </w:tc>
        <w:tc>
          <w:tcPr>
            <w:tcW w:w="1130" w:type="dxa"/>
          </w:tcPr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1.เจ้าหน้าที่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ขาดความรู้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ความชำนาญ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ในการออกแบบ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2.ผู้บังคับ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บัญชา ขาดการ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ควบคุมอย่าง</w:t>
            </w:r>
          </w:p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ใกล้ชิด</w:t>
            </w:r>
          </w:p>
        </w:tc>
        <w:tc>
          <w:tcPr>
            <w:tcW w:w="1486" w:type="dxa"/>
          </w:tcPr>
          <w:p w:rsidR="00E910AB" w:rsidRDefault="00E910AB" w:rsidP="00CB2802">
            <w:r>
              <w:rPr>
                <w:rFonts w:ascii="TH SarabunIT๙" w:hAnsi="TH SarabunIT๙" w:cs="TH SarabunIT๙" w:hint="cs"/>
                <w:sz w:val="28"/>
                <w:cs/>
              </w:rPr>
              <w:t>พระราชบัญญัติการจัดซื้อจัดจ้างและการบริหารพัสดุภาครัฐ พ.ศ.๒๕๖๐</w:t>
            </w:r>
          </w:p>
          <w:p w:rsidR="00E910AB" w:rsidRDefault="00E910AB" w:rsidP="00CB2802"/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</w:tcPr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348" w:type="dxa"/>
          </w:tcPr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73" w:type="dxa"/>
          </w:tcPr>
          <w:p w:rsidR="00E910AB" w:rsidRDefault="00C54551" w:rsidP="00CB2802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346" w:type="dxa"/>
          </w:tcPr>
          <w:p w:rsidR="00E910AB" w:rsidRPr="00830C22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486" w:type="dxa"/>
          </w:tcPr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  <w:tc>
          <w:tcPr>
            <w:tcW w:w="1062" w:type="dxa"/>
          </w:tcPr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บัญชามีการควบคุมและติดตามการทำงานอย่างใกล้ชิด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จัดส่งเจ้า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หน้าที่เข้า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รับการฝึกอบรม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เรื่องการ</w:t>
            </w:r>
          </w:p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สำรวจและออกแบบงานก่อสร้าง</w:t>
            </w:r>
          </w:p>
        </w:tc>
        <w:tc>
          <w:tcPr>
            <w:tcW w:w="998" w:type="dxa"/>
          </w:tcPr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E910AB" w:rsidRDefault="00E910AB" w:rsidP="00CB2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ครั้งในการสำรวจและออกแบบผิดพลาด</w:t>
            </w:r>
          </w:p>
          <w:p w:rsidR="00E910AB" w:rsidRDefault="00E910AB" w:rsidP="00CB2802">
            <w:pPr>
              <w:rPr>
                <w:rFonts w:ascii="JasmineUPC" w:hAnsi="JasmineUPC" w:cs="JasmineUPC"/>
                <w:sz w:val="44"/>
                <w:szCs w:val="44"/>
              </w:rPr>
            </w:pPr>
          </w:p>
        </w:tc>
      </w:tr>
    </w:tbl>
    <w:p w:rsidR="007B3E26" w:rsidRDefault="008F1AA9" w:rsidP="007B3E26">
      <w:pPr>
        <w:tabs>
          <w:tab w:val="left" w:pos="6000"/>
        </w:tabs>
        <w:spacing w:after="0"/>
        <w:ind w:left="-993" w:right="-306"/>
        <w:rPr>
          <w:rFonts w:ascii="JasmineUPC" w:hAnsi="JasmineUPC" w:cs="JasmineUPC"/>
          <w:sz w:val="44"/>
          <w:szCs w:val="44"/>
        </w:rPr>
      </w:pPr>
      <w:r>
        <w:rPr>
          <w:rFonts w:ascii="JasmineUPC" w:hAnsi="JasmineUPC" w:cs="JasmineUPC" w:hint="cs"/>
          <w:sz w:val="44"/>
          <w:szCs w:val="44"/>
          <w:cs/>
        </w:rPr>
        <w:t xml:space="preserve"> </w:t>
      </w:r>
    </w:p>
    <w:p w:rsidR="003F00A7" w:rsidRDefault="007B3E26" w:rsidP="007B3E26">
      <w:pPr>
        <w:tabs>
          <w:tab w:val="left" w:pos="6000"/>
        </w:tabs>
        <w:spacing w:after="0"/>
        <w:ind w:left="-993" w:right="-306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JasmineUPC" w:hAnsi="JasmineUPC" w:cs="JasmineUPC" w:hint="cs"/>
          <w:sz w:val="44"/>
          <w:szCs w:val="44"/>
          <w:cs/>
        </w:rPr>
        <w:t xml:space="preserve">   </w:t>
      </w:r>
      <w:r w:rsidR="008F1AA9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หน่วยงานผู้ผิดชอบประเมินความเสี่ยง    </w:t>
      </w:r>
      <w:r w:rsidR="00C54551">
        <w:rPr>
          <w:rFonts w:ascii="TH SarabunIT๙" w:hAnsi="TH SarabunIT๙" w:cs="TH SarabunIT๙" w:hint="cs"/>
          <w:sz w:val="32"/>
          <w:szCs w:val="32"/>
          <w:u w:val="single"/>
          <w:cs/>
        </w:rPr>
        <w:t>งานการเจ้าหน้าที่</w:t>
      </w:r>
      <w:r w:rsidR="000B1B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สำนักปลัด</w:t>
      </w:r>
    </w:p>
    <w:p w:rsidR="008F1AA9" w:rsidRDefault="008F1AA9" w:rsidP="007B3E26">
      <w:pPr>
        <w:tabs>
          <w:tab w:val="left" w:pos="6000"/>
        </w:tabs>
        <w:spacing w:after="0"/>
        <w:ind w:left="-993" w:right="-306"/>
        <w:rPr>
          <w:rFonts w:ascii="TH SarabunIT๙" w:hAnsi="TH SarabunIT๙" w:cs="TH SarabunIT๙"/>
          <w:sz w:val="32"/>
          <w:szCs w:val="32"/>
          <w:cs/>
        </w:rPr>
      </w:pPr>
      <w:r w:rsidRPr="008F1AA9">
        <w:rPr>
          <w:rFonts w:ascii="TH SarabunIT๙" w:hAnsi="TH SarabunIT๙" w:cs="TH SarabunIT๙" w:hint="cs"/>
          <w:sz w:val="32"/>
          <w:szCs w:val="32"/>
          <w:cs/>
        </w:rPr>
        <w:t xml:space="preserve">    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ื่อผู้รายงาน   </w:t>
      </w:r>
      <w:r w:rsidR="00CD32CA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F1AA9" w:rsidRPr="008F1AA9" w:rsidRDefault="008F1AA9" w:rsidP="003F00A7">
      <w:pPr>
        <w:tabs>
          <w:tab w:val="left" w:pos="6000"/>
        </w:tabs>
        <w:ind w:left="-993" w:right="-3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 </w:t>
      </w:r>
      <w:r w:rsidR="00C54551">
        <w:rPr>
          <w:rFonts w:ascii="TH SarabunIT๙" w:hAnsi="TH SarabunIT๙" w:cs="TH SarabunIT๙" w:hint="cs"/>
          <w:sz w:val="32"/>
          <w:szCs w:val="32"/>
          <w:u w:val="single"/>
          <w:cs/>
        </w:rPr>
        <w:t>นักทรัพยากรบุคคล</w:t>
      </w:r>
    </w:p>
    <w:sectPr w:rsidR="008F1AA9" w:rsidRPr="008F1AA9" w:rsidSect="007B3E26">
      <w:pgSz w:w="11906" w:h="16838"/>
      <w:pgMar w:top="284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7DC" w:rsidRDefault="003E57DC" w:rsidP="00AE5CDA">
      <w:pPr>
        <w:spacing w:after="0" w:line="240" w:lineRule="auto"/>
      </w:pPr>
      <w:r>
        <w:separator/>
      </w:r>
    </w:p>
  </w:endnote>
  <w:endnote w:type="continuationSeparator" w:id="0">
    <w:p w:rsidR="003E57DC" w:rsidRDefault="003E57DC" w:rsidP="00AE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7DC" w:rsidRDefault="003E57DC" w:rsidP="00AE5CDA">
      <w:pPr>
        <w:spacing w:after="0" w:line="240" w:lineRule="auto"/>
      </w:pPr>
      <w:r>
        <w:separator/>
      </w:r>
    </w:p>
  </w:footnote>
  <w:footnote w:type="continuationSeparator" w:id="0">
    <w:p w:rsidR="003E57DC" w:rsidRDefault="003E57DC" w:rsidP="00AE5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A"/>
    <w:rsid w:val="000A3C47"/>
    <w:rsid w:val="000B1B22"/>
    <w:rsid w:val="00132CF3"/>
    <w:rsid w:val="00163968"/>
    <w:rsid w:val="0016454B"/>
    <w:rsid w:val="00175F03"/>
    <w:rsid w:val="001950EB"/>
    <w:rsid w:val="001D252E"/>
    <w:rsid w:val="002314BA"/>
    <w:rsid w:val="00304F95"/>
    <w:rsid w:val="00316DB4"/>
    <w:rsid w:val="00326DA3"/>
    <w:rsid w:val="0033184A"/>
    <w:rsid w:val="003659B9"/>
    <w:rsid w:val="0036698C"/>
    <w:rsid w:val="003710CD"/>
    <w:rsid w:val="003B0564"/>
    <w:rsid w:val="003B122B"/>
    <w:rsid w:val="003B7D4F"/>
    <w:rsid w:val="003D4576"/>
    <w:rsid w:val="003E57DC"/>
    <w:rsid w:val="003E791C"/>
    <w:rsid w:val="003F00A7"/>
    <w:rsid w:val="00485A21"/>
    <w:rsid w:val="004D2282"/>
    <w:rsid w:val="00515CE6"/>
    <w:rsid w:val="005328A2"/>
    <w:rsid w:val="00565907"/>
    <w:rsid w:val="005836C4"/>
    <w:rsid w:val="00583C63"/>
    <w:rsid w:val="0058507C"/>
    <w:rsid w:val="00642251"/>
    <w:rsid w:val="006C4027"/>
    <w:rsid w:val="007B12FB"/>
    <w:rsid w:val="007B3E26"/>
    <w:rsid w:val="007B4829"/>
    <w:rsid w:val="007F771D"/>
    <w:rsid w:val="00830C22"/>
    <w:rsid w:val="008F1AA9"/>
    <w:rsid w:val="00900195"/>
    <w:rsid w:val="00903F3A"/>
    <w:rsid w:val="00925995"/>
    <w:rsid w:val="00937C42"/>
    <w:rsid w:val="00963004"/>
    <w:rsid w:val="009B51D8"/>
    <w:rsid w:val="009F70BC"/>
    <w:rsid w:val="00A6089F"/>
    <w:rsid w:val="00AD172E"/>
    <w:rsid w:val="00AE5CDA"/>
    <w:rsid w:val="00B21205"/>
    <w:rsid w:val="00B507E5"/>
    <w:rsid w:val="00B65C1B"/>
    <w:rsid w:val="00B7553C"/>
    <w:rsid w:val="00BB47E4"/>
    <w:rsid w:val="00BC711A"/>
    <w:rsid w:val="00C14B66"/>
    <w:rsid w:val="00C54551"/>
    <w:rsid w:val="00C66753"/>
    <w:rsid w:val="00CD32CA"/>
    <w:rsid w:val="00CF32EC"/>
    <w:rsid w:val="00D2675F"/>
    <w:rsid w:val="00DC44CC"/>
    <w:rsid w:val="00DC56A9"/>
    <w:rsid w:val="00DE17B6"/>
    <w:rsid w:val="00E1025C"/>
    <w:rsid w:val="00E222FD"/>
    <w:rsid w:val="00E56AD4"/>
    <w:rsid w:val="00E910AB"/>
    <w:rsid w:val="00EF0EB3"/>
    <w:rsid w:val="00F05841"/>
    <w:rsid w:val="00F1341E"/>
    <w:rsid w:val="00F22B4A"/>
    <w:rsid w:val="00F25DDD"/>
    <w:rsid w:val="00F25E21"/>
    <w:rsid w:val="00F56CB7"/>
    <w:rsid w:val="00F57E2A"/>
    <w:rsid w:val="00F6236C"/>
    <w:rsid w:val="00F93AB0"/>
    <w:rsid w:val="00FB7FC5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03CC"/>
  <w15:docId w15:val="{8228FBE3-B0D1-4DC2-9ACE-3D5C56C2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E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AE5CDA"/>
  </w:style>
  <w:style w:type="paragraph" w:styleId="a6">
    <w:name w:val="footer"/>
    <w:basedOn w:val="a"/>
    <w:link w:val="a7"/>
    <w:uiPriority w:val="99"/>
    <w:semiHidden/>
    <w:unhideWhenUsed/>
    <w:rsid w:val="00AE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E5CDA"/>
  </w:style>
  <w:style w:type="paragraph" w:styleId="a8">
    <w:name w:val="Balloon Text"/>
    <w:basedOn w:val="a"/>
    <w:link w:val="a9"/>
    <w:uiPriority w:val="99"/>
    <w:semiHidden/>
    <w:unhideWhenUsed/>
    <w:rsid w:val="003659B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59B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48F4-952E-4F29-846E-24D571B5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Levovo</cp:lastModifiedBy>
  <cp:revision>2</cp:revision>
  <cp:lastPrinted>2022-03-18T06:26:00Z</cp:lastPrinted>
  <dcterms:created xsi:type="dcterms:W3CDTF">2022-04-25T03:43:00Z</dcterms:created>
  <dcterms:modified xsi:type="dcterms:W3CDTF">2022-04-25T03:43:00Z</dcterms:modified>
</cp:coreProperties>
</file>